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200"/>
      </w:pPr>
      <w:r>
        <w:rPr>
          <w:rFonts w:ascii="Arial" w:cs="Arial" w:eastAsia="Arial" w:hAnsi="Arial"/>
          <w:b/>
          <w:bCs/>
          <w:color w:val="D4A843"/>
          <w:sz w:val="19"/>
          <w:szCs w:val="19"/>
        </w:rPr>
        <w:t xml:space="preserve">PRACTICE LEARNING HUB</w:t>
      </w:r>
    </w:p>
    <w:p>
      <w:pPr>
        <w:spacing w:after="60"/>
      </w:pPr>
      <w:r>
        <w:rPr>
          <w:rFonts w:ascii="Arial" w:cs="Arial" w:eastAsia="Arial" w:hAnsi="Arial"/>
          <w:b/>
          <w:bCs/>
          <w:color w:val="7B2D8E"/>
          <w:sz w:val="44"/>
          <w:szCs w:val="44"/>
        </w:rPr>
        <w:t xml:space="preserve">CPD Reflection Template</w:t>
      </w:r>
    </w:p>
    <w:p>
      <w:pPr>
        <w:spacing w:after="240"/>
      </w:pPr>
      <w:r>
        <w:rPr>
          <w:rFonts w:ascii="Arial" w:cs="Arial" w:eastAsia="Arial" w:hAnsi="Arial"/>
          <w:color w:val="1B3A5C"/>
          <w:sz w:val="24"/>
          <w:szCs w:val="24"/>
        </w:rPr>
        <w:t xml:space="preserve">Adult Safeguarding: Practical Refresher and Reflective Discussion</w:t>
      </w:r>
    </w:p>
    <w:tbl>
      <w:tblPr>
        <w:tblW w:type="pct" w:w="100%"/>
        <w:tblBorders>
          <w:top w:val="single" w:color="DDDDDD" w:sz="4"/>
          <w:left w:val="single" w:color="DDDDDD" w:sz="4"/>
          <w:bottom w:val="single" w:color="DDDDDD" w:sz="4"/>
          <w:right w:val="single" w:color="DDDDDD" w:sz="4"/>
          <w:insideH w:val="single" w:color="DDDDDD" w:sz="4"/>
          <w:insideV w:val="single" w:color="DDDDDD" w:sz="4"/>
        </w:tblBorders>
      </w:tblPr>
      <w:tblGrid>
        <w:gridCol w:w="100"/>
        <w:gridCol w:w="100"/>
      </w:tblGrid>
      <w:tr>
        <w:tc>
          <w:tcPr>
            <w:tcW w:type="pct" w:w="32%"/>
            <w:shd w:fill="F3EBF6" w:color="F3EBF6" w:val="solid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7B2D8E"/>
                <w:sz w:val="19"/>
                <w:szCs w:val="19"/>
              </w:rPr>
              <w:t xml:space="preserve">Intended audience</w:t>
            </w:r>
          </w:p>
        </w:tc>
        <w:tc>
          <w:tcPr>
            <w:tcW w:type="pct" w:w="68%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r>
              <w:rPr>
                <w:rFonts w:ascii="Arial" w:cs="Arial" w:eastAsia="Arial" w:hAnsi="Arial"/>
                <w:color w:val="2D2D3A"/>
                <w:sz w:val="19"/>
                <w:szCs w:val="19"/>
              </w:rPr>
              <w:t xml:space="preserve">Practitioners recording CPD from this learning resource</w:t>
            </w:r>
          </w:p>
        </w:tc>
      </w:tr>
      <w:tr>
        <w:tc>
          <w:tcPr>
            <w:tcW w:type="pct" w:w="32%"/>
            <w:shd w:fill="F3EBF6" w:color="F3EBF6" w:val="solid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7B2D8E"/>
                <w:sz w:val="19"/>
                <w:szCs w:val="19"/>
              </w:rPr>
              <w:t xml:space="preserve">Estimated time</w:t>
            </w:r>
          </w:p>
        </w:tc>
        <w:tc>
          <w:tcPr>
            <w:tcW w:type="pct" w:w="68%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r>
              <w:rPr>
                <w:rFonts w:ascii="Arial" w:cs="Arial" w:eastAsia="Arial" w:hAnsi="Arial"/>
                <w:color w:val="2D2D3A"/>
                <w:sz w:val="19"/>
                <w:szCs w:val="19"/>
              </w:rPr>
              <w:t xml:space="preserve">10-15 minutes</w:t>
            </w:r>
          </w:p>
        </w:tc>
      </w:tr>
      <w:tr>
        <w:tc>
          <w:tcPr>
            <w:tcW w:type="pct" w:w="32%"/>
            <w:shd w:fill="F3EBF6" w:color="F3EBF6" w:val="solid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7B2D8E"/>
                <w:sz w:val="19"/>
                <w:szCs w:val="19"/>
              </w:rPr>
              <w:t xml:space="preserve">Sector</w:t>
            </w:r>
          </w:p>
        </w:tc>
        <w:tc>
          <w:tcPr>
            <w:tcW w:type="pct" w:w="68%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r>
              <w:rPr>
                <w:rFonts w:ascii="Arial" w:cs="Arial" w:eastAsia="Arial" w:hAnsi="Arial"/>
                <w:color w:val="2D2D3A"/>
                <w:sz w:val="19"/>
                <w:szCs w:val="19"/>
              </w:rPr>
              <w:t xml:space="preserve">Adult social care</w:t>
            </w:r>
          </w:p>
        </w:tc>
      </w:tr>
      <w:tr>
        <w:tc>
          <w:tcPr>
            <w:tcW w:type="pct" w:w="32%"/>
            <w:shd w:fill="F3EBF6" w:color="F3EBF6" w:val="solid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7B2D8E"/>
                <w:sz w:val="19"/>
                <w:szCs w:val="19"/>
              </w:rPr>
              <w:t xml:space="preserve">Author</w:t>
            </w:r>
          </w:p>
        </w:tc>
        <w:tc>
          <w:tcPr>
            <w:tcW w:type="pct" w:w="68%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r>
              <w:rPr>
                <w:rFonts w:ascii="Arial" w:cs="Arial" w:eastAsia="Arial" w:hAnsi="Arial"/>
                <w:color w:val="2D2D3A"/>
                <w:sz w:val="19"/>
                <w:szCs w:val="19"/>
              </w:rPr>
              <w:t xml:space="preserve">Kayleigh Rose Evans</w:t>
            </w:r>
          </w:p>
        </w:tc>
      </w:tr>
      <w:tr>
        <w:tc>
          <w:tcPr>
            <w:tcW w:type="pct" w:w="32%"/>
            <w:shd w:fill="F3EBF6" w:color="F3EBF6" w:val="solid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7B2D8E"/>
                <w:sz w:val="19"/>
                <w:szCs w:val="19"/>
              </w:rPr>
              <w:t xml:space="preserve">Website</w:t>
            </w:r>
          </w:p>
        </w:tc>
        <w:tc>
          <w:tcPr>
            <w:tcW w:type="pct" w:w="68%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r>
              <w:rPr>
                <w:rFonts w:ascii="Arial" w:cs="Arial" w:eastAsia="Arial" w:hAnsi="Arial"/>
                <w:color w:val="2D2D3A"/>
                <w:sz w:val="19"/>
                <w:szCs w:val="19"/>
              </w:rPr>
              <w:t xml:space="preserve">kayleighroseevans.com/practice-learning-hub.html</w:t>
            </w:r>
          </w:p>
        </w:tc>
      </w:tr>
      <w:tr>
        <w:tc>
          <w:tcPr>
            <w:tcW w:type="pct" w:w="32%"/>
            <w:shd w:fill="F3EBF6" w:color="F3EBF6" w:val="solid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7B2D8E"/>
                <w:sz w:val="19"/>
                <w:szCs w:val="19"/>
              </w:rPr>
              <w:t xml:space="preserve">Version</w:t>
            </w:r>
          </w:p>
        </w:tc>
        <w:tc>
          <w:tcPr>
            <w:tcW w:type="pct" w:w="68%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r>
              <w:rPr>
                <w:rFonts w:ascii="Arial" w:cs="Arial" w:eastAsia="Arial" w:hAnsi="Arial"/>
                <w:color w:val="2D2D3A"/>
                <w:sz w:val="19"/>
                <w:szCs w:val="19"/>
              </w:rPr>
              <w:t xml:space="preserve">Version 1.0 | Published June 2026 | Review due June 2027</w:t>
            </w:r>
          </w:p>
        </w:tc>
      </w:tr>
    </w:tbl>
    <w:p>
      <w:pPr>
        <w:spacing w:after="160"/>
      </w:pPr>
    </w:p>
    <w:tbl>
      <w:tblPr>
        <w:tblW w:type="pct" w:w="100%"/>
        <w:tblBorders>
          <w:top w:val="single" w:color="D4A843" w:sz="6"/>
          <w:left w:val="single" w:color="D4A843" w:sz="18"/>
          <w:bottom w:val="single" w:color="D4A843" w:sz="6"/>
          <w:right w:val="single" w:color="D4A843" w:sz="6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FBF4E3" w:color="FBF4E3" w:val="solid"/>
            <w:tcMar>
              <w:top w:type="dxa" w:w="140"/>
              <w:left w:type="dxa" w:w="200"/>
              <w:bottom w:type="dxa" w:w="140"/>
              <w:right w:type="dxa" w:w="200"/>
            </w:tcMar>
          </w:tcPr>
          <w:p>
            <w:pPr>
              <w:spacing w:after="80"/>
            </w:pPr>
            <w:r>
              <w:rPr>
                <w:rFonts w:ascii="Arial" w:cs="Arial" w:eastAsia="Arial" w:hAnsi="Arial"/>
                <w:b/>
                <w:bCs/>
                <w:color w:val="D4A843"/>
                <w:sz w:val="21"/>
                <w:szCs w:val="21"/>
              </w:rPr>
              <w:t xml:space="preserve">Intended use</w:t>
            </w:r>
          </w:p>
          <w:p>
            <w:pPr>
              <w:spacing w:after="60" w:line="280"/>
            </w:pPr>
            <w:r>
              <w:rPr>
                <w:rFonts w:ascii="Arial" w:cs="Arial" w:eastAsia="Arial" w:hAnsi="Arial"/>
                <w:color w:val="2D2D3A"/>
                <w:sz w:val="20"/>
                <w:szCs w:val="20"/>
              </w:rPr>
              <w:t xml:space="preserve">This resource is for learning, reflection and discussion. It is not legal advice and does not replace local policies, statutory guidance or supervision.</w:t>
            </w:r>
          </w:p>
          <w:p>
            <w:pPr>
              <w:spacing w:after="60" w:line="280"/>
            </w:pPr>
            <w:r>
              <w:rPr>
                <w:rFonts w:ascii="Arial" w:cs="Arial" w:eastAsia="Arial" w:hAnsi="Arial"/>
                <w:color w:val="2D2D3A"/>
                <w:sz w:val="20"/>
                <w:szCs w:val="20"/>
              </w:rPr>
              <w:t xml:space="preserve">Please do not discuss or record identifiable details about people, families, colleagues or live cases when using this resource.</w:t>
            </w:r>
          </w:p>
        </w:tc>
      </w:tr>
    </w:tbl>
    <w:p>
      <w:pPr>
        <w:spacing w:after="120"/>
      </w:pPr>
    </w:p>
    <w:p>
      <w:pPr>
        <w:spacing w:after="120" w:line="300"/>
      </w:pPr>
      <w:r>
        <w:rPr>
          <w:rFonts w:ascii="Arial" w:cs="Arial" w:eastAsia="Arial" w:hAnsi="Arial"/>
          <w:b w:val="false"/>
          <w:bCs w:val="false"/>
          <w:i/>
          <w:iCs/>
          <w:color w:val="2D2D3A"/>
          <w:sz w:val="21"/>
          <w:szCs w:val="21"/>
        </w:rPr>
        <w:t xml:space="preserve">Type directly into this document and save it for your CPD record. The prompts align with the style of reflection encouraged by Social Work England.</w:t>
      </w:r>
    </w:p>
    <w:p>
      <w:pPr>
        <w:spacing w:after="120" w:before="280"/>
      </w:pPr>
      <w:r>
        <w:rPr>
          <w:rFonts w:ascii="Arial" w:cs="Arial" w:eastAsia="Arial" w:hAnsi="Arial"/>
          <w:b/>
          <w:bCs/>
          <w:color w:val="1B3A5C"/>
          <w:sz w:val="24"/>
          <w:szCs w:val="24"/>
        </w:rPr>
        <w:t xml:space="preserve">1. What did I watch, read or discuss?</w:t>
      </w:r>
    </w:p>
    <w:p>
      <w:pPr>
        <w:spacing w:after="60" w:before="160"/>
      </w:pPr>
      <w:r>
        <w:rPr>
          <w:rFonts w:ascii="Arial" w:cs="Arial" w:eastAsia="Arial" w:hAnsi="Arial"/>
          <w:b/>
          <w:bCs/>
          <w:color w:val="1B3A5C"/>
          <w:sz w:val="21"/>
          <w:szCs w:val="21"/>
        </w:rPr>
        <w:t xml:space="preserve"/>
      </w:r>
    </w:p>
    <w:p>
      <w:pPr>
        <w:pBdr>
          <w:bottom w:val="single" w:color="BBBBBB" w:sz="4" w:space="1"/>
        </w:pBdr>
        <w:spacing w:after="200"/>
      </w:pPr>
      <w:r>
        <w:rPr>
          <w:rFonts w:ascii="Arial" w:cs="Arial" w:eastAsia="Arial" w:hAnsi="Arial"/>
          <w:sz w:val="21"/>
          <w:szCs w:val="21"/>
        </w:rPr>
        <w:t xml:space="preserve"> </w:t>
      </w:r>
    </w:p>
    <w:p>
      <w:pPr>
        <w:pBdr>
          <w:bottom w:val="single" w:color="BBBBBB" w:sz="4" w:space="1"/>
        </w:pBdr>
        <w:spacing w:after="200"/>
      </w:pPr>
      <w:r>
        <w:rPr>
          <w:rFonts w:ascii="Arial" w:cs="Arial" w:eastAsia="Arial" w:hAnsi="Arial"/>
          <w:sz w:val="21"/>
          <w:szCs w:val="21"/>
        </w:rPr>
        <w:t xml:space="preserve"> </w:t>
      </w:r>
    </w:p>
    <w:p>
      <w:pPr>
        <w:pBdr>
          <w:bottom w:val="single" w:color="BBBBBB" w:sz="4" w:space="1"/>
        </w:pBdr>
        <w:spacing w:after="200"/>
      </w:pPr>
      <w:r>
        <w:rPr>
          <w:rFonts w:ascii="Arial" w:cs="Arial" w:eastAsia="Arial" w:hAnsi="Arial"/>
          <w:sz w:val="21"/>
          <w:szCs w:val="21"/>
        </w:rPr>
        <w:t xml:space="preserve"> </w:t>
      </w:r>
    </w:p>
    <w:p>
      <w:pPr>
        <w:spacing w:after="120" w:before="280"/>
      </w:pPr>
      <w:r>
        <w:rPr>
          <w:rFonts w:ascii="Arial" w:cs="Arial" w:eastAsia="Arial" w:hAnsi="Arial"/>
          <w:b/>
          <w:bCs/>
          <w:color w:val="1B3A5C"/>
          <w:sz w:val="24"/>
          <w:szCs w:val="24"/>
        </w:rPr>
        <w:t xml:space="preserve">2. What stood out to me, and why?</w:t>
      </w:r>
    </w:p>
    <w:p>
      <w:pPr>
        <w:spacing w:after="60" w:before="160"/>
      </w:pPr>
      <w:r>
        <w:rPr>
          <w:rFonts w:ascii="Arial" w:cs="Arial" w:eastAsia="Arial" w:hAnsi="Arial"/>
          <w:b/>
          <w:bCs/>
          <w:color w:val="1B3A5C"/>
          <w:sz w:val="21"/>
          <w:szCs w:val="21"/>
        </w:rPr>
        <w:t xml:space="preserve"/>
      </w:r>
    </w:p>
    <w:p>
      <w:pPr>
        <w:pBdr>
          <w:bottom w:val="single" w:color="BBBBBB" w:sz="4" w:space="1"/>
        </w:pBdr>
        <w:spacing w:after="200"/>
      </w:pPr>
      <w:r>
        <w:rPr>
          <w:rFonts w:ascii="Arial" w:cs="Arial" w:eastAsia="Arial" w:hAnsi="Arial"/>
          <w:sz w:val="21"/>
          <w:szCs w:val="21"/>
        </w:rPr>
        <w:t xml:space="preserve"> </w:t>
      </w:r>
    </w:p>
    <w:p>
      <w:pPr>
        <w:pBdr>
          <w:bottom w:val="single" w:color="BBBBBB" w:sz="4" w:space="1"/>
        </w:pBdr>
        <w:spacing w:after="200"/>
      </w:pPr>
      <w:r>
        <w:rPr>
          <w:rFonts w:ascii="Arial" w:cs="Arial" w:eastAsia="Arial" w:hAnsi="Arial"/>
          <w:sz w:val="21"/>
          <w:szCs w:val="21"/>
        </w:rPr>
        <w:t xml:space="preserve"> </w:t>
      </w:r>
    </w:p>
    <w:p>
      <w:pPr>
        <w:pBdr>
          <w:bottom w:val="single" w:color="BBBBBB" w:sz="4" w:space="1"/>
        </w:pBdr>
        <w:spacing w:after="200"/>
      </w:pPr>
      <w:r>
        <w:rPr>
          <w:rFonts w:ascii="Arial" w:cs="Arial" w:eastAsia="Arial" w:hAnsi="Arial"/>
          <w:sz w:val="21"/>
          <w:szCs w:val="21"/>
        </w:rPr>
        <w:t xml:space="preserve"> </w:t>
      </w:r>
    </w:p>
    <w:p>
      <w:pPr>
        <w:pBdr>
          <w:bottom w:val="single" w:color="BBBBBB" w:sz="4" w:space="1"/>
        </w:pBdr>
        <w:spacing w:after="200"/>
      </w:pPr>
      <w:r>
        <w:rPr>
          <w:rFonts w:ascii="Arial" w:cs="Arial" w:eastAsia="Arial" w:hAnsi="Arial"/>
          <w:sz w:val="21"/>
          <w:szCs w:val="21"/>
        </w:rPr>
        <w:t xml:space="preserve"> </w:t>
      </w:r>
    </w:p>
    <w:p>
      <w:pPr>
        <w:spacing w:after="120" w:before="280"/>
      </w:pPr>
      <w:r>
        <w:rPr>
          <w:rFonts w:ascii="Arial" w:cs="Arial" w:eastAsia="Arial" w:hAnsi="Arial"/>
          <w:b/>
          <w:bCs/>
          <w:color w:val="1B3A5C"/>
          <w:sz w:val="24"/>
          <w:szCs w:val="24"/>
        </w:rPr>
        <w:t xml:space="preserve">3. What did I discuss with a peer, supervisor or team?</w:t>
      </w:r>
    </w:p>
    <w:p>
      <w:pPr>
        <w:spacing w:after="60" w:before="160"/>
      </w:pPr>
      <w:r>
        <w:rPr>
          <w:rFonts w:ascii="Arial" w:cs="Arial" w:eastAsia="Arial" w:hAnsi="Arial"/>
          <w:b/>
          <w:bCs/>
          <w:color w:val="1B3A5C"/>
          <w:sz w:val="21"/>
          <w:szCs w:val="21"/>
        </w:rPr>
        <w:t xml:space="preserve"/>
      </w:r>
    </w:p>
    <w:p>
      <w:pPr>
        <w:pBdr>
          <w:bottom w:val="single" w:color="BBBBBB" w:sz="4" w:space="1"/>
        </w:pBdr>
        <w:spacing w:after="200"/>
      </w:pPr>
      <w:r>
        <w:rPr>
          <w:rFonts w:ascii="Arial" w:cs="Arial" w:eastAsia="Arial" w:hAnsi="Arial"/>
          <w:sz w:val="21"/>
          <w:szCs w:val="21"/>
        </w:rPr>
        <w:t xml:space="preserve"> </w:t>
      </w:r>
    </w:p>
    <w:p>
      <w:pPr>
        <w:pBdr>
          <w:bottom w:val="single" w:color="BBBBBB" w:sz="4" w:space="1"/>
        </w:pBdr>
        <w:spacing w:after="200"/>
      </w:pPr>
      <w:r>
        <w:rPr>
          <w:rFonts w:ascii="Arial" w:cs="Arial" w:eastAsia="Arial" w:hAnsi="Arial"/>
          <w:sz w:val="21"/>
          <w:szCs w:val="21"/>
        </w:rPr>
        <w:t xml:space="preserve"> </w:t>
      </w:r>
    </w:p>
    <w:p>
      <w:pPr>
        <w:pBdr>
          <w:bottom w:val="single" w:color="BBBBBB" w:sz="4" w:space="1"/>
        </w:pBdr>
        <w:spacing w:after="200"/>
      </w:pPr>
      <w:r>
        <w:rPr>
          <w:rFonts w:ascii="Arial" w:cs="Arial" w:eastAsia="Arial" w:hAnsi="Arial"/>
          <w:sz w:val="21"/>
          <w:szCs w:val="21"/>
        </w:rPr>
        <w:t xml:space="preserve"> </w:t>
      </w:r>
    </w:p>
    <w:p>
      <w:pPr>
        <w:pBdr>
          <w:bottom w:val="single" w:color="BBBBBB" w:sz="4" w:space="1"/>
        </w:pBdr>
        <w:spacing w:after="200"/>
      </w:pPr>
      <w:r>
        <w:rPr>
          <w:rFonts w:ascii="Arial" w:cs="Arial" w:eastAsia="Arial" w:hAnsi="Arial"/>
          <w:sz w:val="21"/>
          <w:szCs w:val="21"/>
        </w:rPr>
        <w:t xml:space="preserve"> </w:t>
      </w:r>
    </w:p>
    <w:p>
      <w:pPr>
        <w:spacing w:after="120" w:before="280"/>
      </w:pPr>
      <w:r>
        <w:rPr>
          <w:rFonts w:ascii="Arial" w:cs="Arial" w:eastAsia="Arial" w:hAnsi="Arial"/>
          <w:b/>
          <w:bCs/>
          <w:color w:val="1B3A5C"/>
          <w:sz w:val="24"/>
          <w:szCs w:val="24"/>
        </w:rPr>
        <w:t xml:space="preserve">4. How has this challenged, confirmed or developed my safeguarding practice?</w:t>
      </w:r>
    </w:p>
    <w:p>
      <w:pPr>
        <w:spacing w:after="60" w:before="160"/>
      </w:pPr>
      <w:r>
        <w:rPr>
          <w:rFonts w:ascii="Arial" w:cs="Arial" w:eastAsia="Arial" w:hAnsi="Arial"/>
          <w:b/>
          <w:bCs/>
          <w:color w:val="1B3A5C"/>
          <w:sz w:val="21"/>
          <w:szCs w:val="21"/>
        </w:rPr>
        <w:t xml:space="preserve"/>
      </w:r>
    </w:p>
    <w:p>
      <w:pPr>
        <w:pBdr>
          <w:bottom w:val="single" w:color="BBBBBB" w:sz="4" w:space="1"/>
        </w:pBdr>
        <w:spacing w:after="200"/>
      </w:pPr>
      <w:r>
        <w:rPr>
          <w:rFonts w:ascii="Arial" w:cs="Arial" w:eastAsia="Arial" w:hAnsi="Arial"/>
          <w:sz w:val="21"/>
          <w:szCs w:val="21"/>
        </w:rPr>
        <w:t xml:space="preserve"> </w:t>
      </w:r>
    </w:p>
    <w:p>
      <w:pPr>
        <w:pBdr>
          <w:bottom w:val="single" w:color="BBBBBB" w:sz="4" w:space="1"/>
        </w:pBdr>
        <w:spacing w:after="200"/>
      </w:pPr>
      <w:r>
        <w:rPr>
          <w:rFonts w:ascii="Arial" w:cs="Arial" w:eastAsia="Arial" w:hAnsi="Arial"/>
          <w:sz w:val="21"/>
          <w:szCs w:val="21"/>
        </w:rPr>
        <w:t xml:space="preserve"> </w:t>
      </w:r>
    </w:p>
    <w:p>
      <w:pPr>
        <w:pBdr>
          <w:bottom w:val="single" w:color="BBBBBB" w:sz="4" w:space="1"/>
        </w:pBdr>
        <w:spacing w:after="200"/>
      </w:pPr>
      <w:r>
        <w:rPr>
          <w:rFonts w:ascii="Arial" w:cs="Arial" w:eastAsia="Arial" w:hAnsi="Arial"/>
          <w:sz w:val="21"/>
          <w:szCs w:val="21"/>
        </w:rPr>
        <w:t xml:space="preserve"> </w:t>
      </w:r>
    </w:p>
    <w:p>
      <w:pPr>
        <w:pBdr>
          <w:bottom w:val="single" w:color="BBBBBB" w:sz="4" w:space="1"/>
        </w:pBdr>
        <w:spacing w:after="200"/>
      </w:pPr>
      <w:r>
        <w:rPr>
          <w:rFonts w:ascii="Arial" w:cs="Arial" w:eastAsia="Arial" w:hAnsi="Arial"/>
          <w:sz w:val="21"/>
          <w:szCs w:val="21"/>
        </w:rPr>
        <w:t xml:space="preserve"> </w:t>
      </w:r>
    </w:p>
    <w:p>
      <w:pPr>
        <w:spacing w:after="120" w:before="280"/>
      </w:pPr>
      <w:r>
        <w:rPr>
          <w:rFonts w:ascii="Arial" w:cs="Arial" w:eastAsia="Arial" w:hAnsi="Arial"/>
          <w:b/>
          <w:bCs/>
          <w:color w:val="1B3A5C"/>
          <w:sz w:val="24"/>
          <w:szCs w:val="24"/>
        </w:rPr>
        <w:t xml:space="preserve">5. What might I do differently in future?</w:t>
      </w:r>
    </w:p>
    <w:p>
      <w:pPr>
        <w:spacing w:after="60" w:before="160"/>
      </w:pPr>
      <w:r>
        <w:rPr>
          <w:rFonts w:ascii="Arial" w:cs="Arial" w:eastAsia="Arial" w:hAnsi="Arial"/>
          <w:b/>
          <w:bCs/>
          <w:color w:val="1B3A5C"/>
          <w:sz w:val="21"/>
          <w:szCs w:val="21"/>
        </w:rPr>
        <w:t xml:space="preserve"/>
      </w:r>
    </w:p>
    <w:p>
      <w:pPr>
        <w:pBdr>
          <w:bottom w:val="single" w:color="BBBBBB" w:sz="4" w:space="1"/>
        </w:pBdr>
        <w:spacing w:after="200"/>
      </w:pPr>
      <w:r>
        <w:rPr>
          <w:rFonts w:ascii="Arial" w:cs="Arial" w:eastAsia="Arial" w:hAnsi="Arial"/>
          <w:sz w:val="21"/>
          <w:szCs w:val="21"/>
        </w:rPr>
        <w:t xml:space="preserve"> </w:t>
      </w:r>
    </w:p>
    <w:p>
      <w:pPr>
        <w:pBdr>
          <w:bottom w:val="single" w:color="BBBBBB" w:sz="4" w:space="1"/>
        </w:pBdr>
        <w:spacing w:after="200"/>
      </w:pPr>
      <w:r>
        <w:rPr>
          <w:rFonts w:ascii="Arial" w:cs="Arial" w:eastAsia="Arial" w:hAnsi="Arial"/>
          <w:sz w:val="21"/>
          <w:szCs w:val="21"/>
        </w:rPr>
        <w:t xml:space="preserve"> </w:t>
      </w:r>
    </w:p>
    <w:p>
      <w:pPr>
        <w:pBdr>
          <w:bottom w:val="single" w:color="BBBBBB" w:sz="4" w:space="1"/>
        </w:pBdr>
        <w:spacing w:after="200"/>
      </w:pPr>
      <w:r>
        <w:rPr>
          <w:rFonts w:ascii="Arial" w:cs="Arial" w:eastAsia="Arial" w:hAnsi="Arial"/>
          <w:sz w:val="21"/>
          <w:szCs w:val="21"/>
        </w:rPr>
        <w:t xml:space="preserve"> </w:t>
      </w:r>
    </w:p>
    <w:p>
      <w:pPr>
        <w:pBdr>
          <w:bottom w:val="single" w:color="BBBBBB" w:sz="4" w:space="1"/>
        </w:pBdr>
        <w:spacing w:after="200"/>
      </w:pPr>
      <w:r>
        <w:rPr>
          <w:rFonts w:ascii="Arial" w:cs="Arial" w:eastAsia="Arial" w:hAnsi="Arial"/>
          <w:sz w:val="21"/>
          <w:szCs w:val="21"/>
        </w:rPr>
        <w:t xml:space="preserve"> </w:t>
      </w:r>
    </w:p>
    <w:p>
      <w:pPr>
        <w:spacing w:after="120" w:before="280"/>
      </w:pPr>
      <w:r>
        <w:rPr>
          <w:rFonts w:ascii="Arial" w:cs="Arial" w:eastAsia="Arial" w:hAnsi="Arial"/>
          <w:b/>
          <w:bCs/>
          <w:color w:val="1B3A5C"/>
          <w:sz w:val="24"/>
          <w:szCs w:val="24"/>
        </w:rPr>
        <w:t xml:space="preserve">6. What further learning or supervision do I need?</w:t>
      </w:r>
    </w:p>
    <w:p>
      <w:pPr>
        <w:spacing w:after="60" w:before="160"/>
      </w:pPr>
      <w:r>
        <w:rPr>
          <w:rFonts w:ascii="Arial" w:cs="Arial" w:eastAsia="Arial" w:hAnsi="Arial"/>
          <w:b/>
          <w:bCs/>
          <w:color w:val="1B3A5C"/>
          <w:sz w:val="21"/>
          <w:szCs w:val="21"/>
        </w:rPr>
        <w:t xml:space="preserve"/>
      </w:r>
    </w:p>
    <w:p>
      <w:pPr>
        <w:pBdr>
          <w:bottom w:val="single" w:color="BBBBBB" w:sz="4" w:space="1"/>
        </w:pBdr>
        <w:spacing w:after="200"/>
      </w:pPr>
      <w:r>
        <w:rPr>
          <w:rFonts w:ascii="Arial" w:cs="Arial" w:eastAsia="Arial" w:hAnsi="Arial"/>
          <w:sz w:val="21"/>
          <w:szCs w:val="21"/>
        </w:rPr>
        <w:t xml:space="preserve"> </w:t>
      </w:r>
    </w:p>
    <w:p>
      <w:pPr>
        <w:pBdr>
          <w:bottom w:val="single" w:color="BBBBBB" w:sz="4" w:space="1"/>
        </w:pBdr>
        <w:spacing w:after="200"/>
      </w:pPr>
      <w:r>
        <w:rPr>
          <w:rFonts w:ascii="Arial" w:cs="Arial" w:eastAsia="Arial" w:hAnsi="Arial"/>
          <w:sz w:val="21"/>
          <w:szCs w:val="21"/>
        </w:rPr>
        <w:t xml:space="preserve"> </w:t>
      </w:r>
    </w:p>
    <w:p>
      <w:pPr>
        <w:pBdr>
          <w:bottom w:val="single" w:color="BBBBBB" w:sz="4" w:space="1"/>
        </w:pBdr>
        <w:spacing w:after="200"/>
      </w:pPr>
      <w:r>
        <w:rPr>
          <w:rFonts w:ascii="Arial" w:cs="Arial" w:eastAsia="Arial" w:hAnsi="Arial"/>
          <w:sz w:val="21"/>
          <w:szCs w:val="21"/>
        </w:rPr>
        <w:t xml:space="preserve"> </w:t>
      </w:r>
    </w:p>
    <w:tbl>
      <w:tblPr>
        <w:tblW w:type="pct" w:w="100%"/>
        <w:tblBorders>
          <w:top w:val="single" w:color="DDDDDD" w:sz="4"/>
          <w:left w:val="single" w:color="DDDDDD" w:sz="4"/>
          <w:bottom w:val="single" w:color="DDDDDD" w:sz="4"/>
          <w:right w:val="single" w:color="DDDDDD" w:sz="4"/>
          <w:insideH w:val="single" w:color="DDDDDD" w:sz="4"/>
          <w:insideV w:val="single" w:color="DDDDDD" w:sz="4"/>
        </w:tblBorders>
      </w:tblPr>
      <w:tblGrid>
        <w:gridCol w:w="100"/>
        <w:gridCol w:w="100"/>
      </w:tblGrid>
      <w:tr>
        <w:tc>
          <w:tcPr>
            <w:tcW w:type="pct" w:w="32%"/>
            <w:shd w:fill="F3EBF6" w:color="F3EBF6" w:val="solid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7B2D8E"/>
                <w:sz w:val="19"/>
                <w:szCs w:val="19"/>
              </w:rPr>
              <w:t xml:space="preserve">Name</w:t>
            </w:r>
          </w:p>
        </w:tc>
        <w:tc>
          <w:tcPr>
            <w:tcW w:type="pct" w:w="68%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r>
              <w:rPr>
                <w:rFonts w:ascii="Arial" w:cs="Arial" w:eastAsia="Arial" w:hAnsi="Arial"/>
                <w:color w:val="2D2D3A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pct" w:w="32%"/>
            <w:shd w:fill="F3EBF6" w:color="F3EBF6" w:val="solid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7B2D8E"/>
                <w:sz w:val="19"/>
                <w:szCs w:val="19"/>
              </w:rPr>
              <w:t xml:space="preserve">Role</w:t>
            </w:r>
          </w:p>
        </w:tc>
        <w:tc>
          <w:tcPr>
            <w:tcW w:type="pct" w:w="68%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r>
              <w:rPr>
                <w:rFonts w:ascii="Arial" w:cs="Arial" w:eastAsia="Arial" w:hAnsi="Arial"/>
                <w:color w:val="2D2D3A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pct" w:w="32%"/>
            <w:shd w:fill="F3EBF6" w:color="F3EBF6" w:val="solid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7B2D8E"/>
                <w:sz w:val="19"/>
                <w:szCs w:val="19"/>
              </w:rPr>
              <w:t xml:space="preserve">Date of learning</w:t>
            </w:r>
          </w:p>
        </w:tc>
        <w:tc>
          <w:tcPr>
            <w:tcW w:type="pct" w:w="68%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r>
              <w:rPr>
                <w:rFonts w:ascii="Arial" w:cs="Arial" w:eastAsia="Arial" w:hAnsi="Arial"/>
                <w:color w:val="2D2D3A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pct" w:w="32%"/>
            <w:shd w:fill="F3EBF6" w:color="F3EBF6" w:val="solid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7B2D8E"/>
                <w:sz w:val="19"/>
                <w:szCs w:val="19"/>
              </w:rPr>
              <w:t xml:space="preserve">Date of this reflection</w:t>
            </w:r>
          </w:p>
        </w:tc>
        <w:tc>
          <w:tcPr>
            <w:tcW w:type="pct" w:w="68%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r>
              <w:rPr>
                <w:rFonts w:ascii="Arial" w:cs="Arial" w:eastAsia="Arial" w:hAnsi="Arial"/>
                <w:color w:val="2D2D3A"/>
                <w:sz w:val="19"/>
                <w:szCs w:val="19"/>
              </w:rPr>
              <w:t xml:space="preserve"/>
            </w:r>
          </w:p>
        </w:tc>
      </w:tr>
    </w:tbl>
    <w:tbl>
      <w:tblPr>
        <w:tblW w:type="pct" w:w="100%"/>
        <w:tblBorders>
          <w:top w:val="single" w:color="2A9D8F" w:sz="6"/>
          <w:left w:val="single" w:color="2A9D8F" w:sz="18"/>
          <w:bottom w:val="single" w:color="2A9D8F" w:sz="6"/>
          <w:right w:val="single" w:color="2A9D8F" w:sz="6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E8F5F3" w:color="E8F5F3" w:val="solid"/>
            <w:tcMar>
              <w:top w:type="dxa" w:w="140"/>
              <w:left w:type="dxa" w:w="200"/>
              <w:bottom w:type="dxa" w:w="140"/>
              <w:right w:type="dxa" w:w="200"/>
            </w:tcMar>
          </w:tcPr>
          <w:p>
            <w:pPr>
              <w:spacing w:after="80"/>
            </w:pPr>
            <w:r>
              <w:rPr>
                <w:rFonts w:ascii="Arial" w:cs="Arial" w:eastAsia="Arial" w:hAnsi="Arial"/>
                <w:b/>
                <w:bCs/>
                <w:color w:val="2A9D8F"/>
                <w:sz w:val="21"/>
                <w:szCs w:val="21"/>
              </w:rPr>
              <w:t xml:space="preserve">Recording your CPD</w:t>
            </w:r>
          </w:p>
          <w:p>
            <w:pPr>
              <w:spacing w:after="60" w:line="280"/>
            </w:pPr>
            <w:r>
              <w:rPr>
                <w:rFonts w:ascii="Arial" w:cs="Arial" w:eastAsia="Arial" w:hAnsi="Arial"/>
                <w:color w:val="2D2D3A"/>
                <w:sz w:val="20"/>
                <w:szCs w:val="20"/>
              </w:rPr>
              <w:t xml:space="preserve">Social Work England requires registered social workers to record CPD each year, including at least one piece with a peer reflection element. This template can support that record - check current Social Work England guidance for what to upload and when.</w:t>
            </w:r>
          </w:p>
        </w:tc>
      </w:tr>
    </w:tbl>
    <w:p>
      <w:pPr>
        <w:spacing w:before="200"/>
      </w:pPr>
    </w:p>
    <w:tbl>
      <w:tblPr>
        <w:tblW w:type="pct" w:w="100%"/>
        <w:tblBorders>
          <w:top w:val="single" w:color="2A9D8F" w:sz="6"/>
          <w:left w:val="single" w:color="2A9D8F" w:sz="18"/>
          <w:bottom w:val="single" w:color="2A9D8F" w:sz="6"/>
          <w:right w:val="single" w:color="2A9D8F" w:sz="6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E8F5F3" w:color="E8F5F3" w:val="solid"/>
            <w:tcMar>
              <w:top w:type="dxa" w:w="140"/>
              <w:left w:type="dxa" w:w="200"/>
              <w:bottom w:type="dxa" w:w="140"/>
              <w:right w:type="dxa" w:w="200"/>
            </w:tcMar>
          </w:tcPr>
          <w:p>
            <w:pPr>
              <w:spacing w:after="80"/>
            </w:pPr>
            <w:r>
              <w:rPr>
                <w:rFonts w:ascii="Arial" w:cs="Arial" w:eastAsia="Arial" w:hAnsi="Arial"/>
                <w:b/>
                <w:bCs/>
                <w:color w:val="2A9D8F"/>
                <w:sz w:val="21"/>
                <w:szCs w:val="21"/>
              </w:rPr>
              <w:t xml:space="preserve">Using this with your team?</w:t>
            </w:r>
          </w:p>
          <w:p>
            <w:pPr>
              <w:spacing w:after="60" w:line="280"/>
            </w:pPr>
            <w:r>
              <w:rPr>
                <w:rFonts w:ascii="Arial" w:cs="Arial" w:eastAsia="Arial" w:hAnsi="Arial"/>
                <w:color w:val="2D2D3A"/>
                <w:sz w:val="20"/>
                <w:szCs w:val="20"/>
              </w:rPr>
              <w:t xml:space="preserve">If your team, authority or university is using this resource, Kayleigh would love to hear how. Your feedback shapes future materials.</w:t>
            </w:r>
          </w:p>
          <w:p>
            <w:pPr>
              <w:spacing w:after="60" w:line="280"/>
            </w:pPr>
            <w:r>
              <w:rPr>
                <w:rFonts w:ascii="Arial" w:cs="Arial" w:eastAsia="Arial" w:hAnsi="Arial"/>
                <w:color w:val="2D2D3A"/>
                <w:sz w:val="20"/>
                <w:szCs w:val="20"/>
              </w:rPr>
              <w:t xml:space="preserve">Share feedback: kayleighrosevans@gmail.com</w:t>
            </w:r>
          </w:p>
          <w:p>
            <w:pPr>
              <w:spacing w:after="60" w:line="280"/>
            </w:pPr>
            <w:r>
              <w:rPr>
                <w:rFonts w:ascii="Arial" w:cs="Arial" w:eastAsia="Arial" w:hAnsi="Arial"/>
                <w:color w:val="2D2D3A"/>
                <w:sz w:val="20"/>
                <w:szCs w:val="20"/>
              </w:rPr>
              <w:t xml:space="preserve">To invite Kayleigh to deliver a live session linked to this resource, visit kayleighroseevans.com and use the speaking enquiry contact.</w:t>
            </w:r>
          </w:p>
        </w:tc>
      </w:tr>
    </w:tbl>
    <w:sectPr>
      <w:headerReference w:type="default" r:id="rId7"/>
      <w:footerReference w:type="default" r:id="rId8"/>
      <w:pgSz w:w="11906" w:h="16838" w:orient="portrait"/>
      <w:pgMar w:top="1100" w:right="1100" w:bottom="1100" w:left="11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DDDDDD" w:sz="4" w:space="4"/>
      </w:pBdr>
    </w:pPr>
    <w:r>
      <w:rPr>
        <w:rFonts w:ascii="Arial" w:cs="Arial" w:eastAsia="Arial" w:hAnsi="Arial"/>
        <w:color w:val="6B6B7B"/>
        <w:sz w:val="15"/>
        <w:szCs w:val="15"/>
      </w:rPr>
      <w:t xml:space="preserve">Free to use for learning and reflection  |  kayleighroseevans.com</w:t>
    </w:r>
    <w:r>
      <w:rPr>
        <w:rFonts w:ascii="Arial" w:cs="Arial" w:eastAsia="Arial" w:hAnsi="Arial"/>
        <w:sz w:val="15"/>
        <w:szCs w:val="15"/>
      </w:rPr>
      <w:ptab w:alignment="right" w:relativeTo="margin" w:leader="none"/>
    </w:r>
    <w:r>
      <w:rPr>
        <w:rFonts w:ascii="Arial" w:cs="Arial" w:eastAsia="Arial" w:hAnsi="Arial"/>
        <w:color w:val="6B6B7B"/>
        <w:sz w:val="15"/>
        <w:szCs w:val="15"/>
      </w:rPr>
      <w:t xml:space="preserve">Page </w:t>
    </w:r>
    <w:r>
      <w:rPr>
        <w:rFonts w:ascii="Arial" w:cs="Arial" w:eastAsia="Arial" w:hAnsi="Arial"/>
        <w:color w:val="6B6B7B"/>
        <w:sz w:val="15"/>
        <w:szCs w:val="15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7B2D8E" w:sz="6" w:space="4"/>
      </w:pBdr>
    </w:pPr>
    <w:r>
      <w:rPr>
        <w:rFonts w:ascii="Arial" w:cs="Arial" w:eastAsia="Arial" w:hAnsi="Arial"/>
        <w:b/>
        <w:bCs/>
        <w:color w:val="7B2D8E"/>
        <w:sz w:val="16"/>
        <w:szCs w:val="16"/>
      </w:rPr>
      <w:t xml:space="preserve">Kayleigh Rose Evans</w:t>
    </w:r>
    <w:r>
      <w:rPr>
        <w:rFonts w:ascii="Arial" w:cs="Arial" w:eastAsia="Arial" w:hAnsi="Arial"/>
        <w:color w:val="6B6B7B"/>
        <w:sz w:val="16"/>
        <w:szCs w:val="16"/>
      </w:rPr>
      <w:t xml:space="preserve">  |  Practice Learning Hub</w:t>
    </w:r>
    <w:r>
      <w:rPr>
        <w:rFonts w:ascii="Arial" w:cs="Arial" w:eastAsia="Arial" w:hAnsi="Arial"/>
        <w:sz w:val="16"/>
        <w:szCs w:val="16"/>
      </w:rPr>
      <w:ptab w:alignment="right" w:relativeTo="margin" w:leader="none"/>
    </w:r>
    <w:r>
      <w:rPr>
        <w:rFonts w:ascii="Arial" w:cs="Arial" w:eastAsia="Arial" w:hAnsi="Arial"/>
        <w:i/>
        <w:iCs/>
        <w:color w:val="6B6B7B"/>
        <w:sz w:val="16"/>
        <w:szCs w:val="16"/>
      </w:rPr>
      <w:t xml:space="preserve">Safeguarding CPD Reflection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20" w:hanging="21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20" w:hanging="280"/>
      </w:pPr>
    </w:lvl>
  </w:abstractNum>
  <w:abstractNum w:abstractNumId="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20" w:hanging="280"/>
      </w:pPr>
    </w:lvl>
  </w:abstractNum>
  <w:abstractNum w:abstractNumId="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20" w:hanging="280"/>
      </w:pPr>
    </w:lvl>
  </w:abstractNum>
  <w:abstractNum w:abstractNumId="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20" w:hanging="280"/>
      </w:pPr>
    </w:lvl>
  </w:abstractNum>
  <w:abstractNum w:abstractNumId="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20" w:hanging="280"/>
      </w:pPr>
    </w:lvl>
  </w:abstractNum>
  <w:abstractNum w:abstractNumId="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20" w:hanging="280"/>
      </w:pPr>
    </w:lvl>
  </w:abstractNum>
  <w:abstractNum w:abstractNumId="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20" w:hanging="280"/>
      </w:pPr>
    </w:lvl>
  </w:abstractNum>
  <w:abstractNum w:abstractNumId="1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20" w:hanging="28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2026-06-12T11:10:49.817Z</dcterms:created>
  <dcterms:modified xsi:type="dcterms:W3CDTF">2026-06-12T11:10:49.817Z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